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18/2023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INGOMAR SANDTNER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12.361.156 - SEMEANDO EDUCAÇÃO, CULTURA E SAÚDE NA AGRICULTURA FAMILIAR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12.361.156.2.068 – MANUTENÇÃO DO PROGRAMA SEMEANDO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3.3.90.31 - Premiações Culturais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Desporto e Cultura (SMEDC)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as agrofeiras do Programa Semeando Educação e Saúde na Agricultura Familiar, especificamente do Café Colonial realizado pela Escola Municipal de Ensino Fundamental Dom João Becker. A finalidade é incentivar esta escola do campo, que realizava anualmente o evento Café Colonial, um meio de valorizar os produtos produzidos na propriedade dos próprios alunos, proporcionando um encontro de culturas e gostos à comunidade local e visitantes.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LibreOffice/7.4.2.3$Windows_X86_64 LibreOffice_project/382eef1f22670f7f4118c8c2dd222ec7ad009daf</Application>
  <AppVersion>15.0000</AppVersion>
  <Pages>2</Pages>
  <Words>256</Words>
  <Characters>1518</Characters>
  <CharactersWithSpaces>1728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2023-11-22T16:18:02Z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